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337</w:t>
      </w:r>
    </w:p>
    <w:p>
      <w:r>
        <w:t>Bundesgericht (BGE), 2018-05-08, DE</w:t>
      </w:r>
    </w:p>
    <w:p>
      <w:r>
        <w:rPr>
          <w:b/>
        </w:rPr>
        <w:t xml:space="preserve">Quelle: </w:t>
      </w:r>
      <w:r>
        <w:t>https://mcp.opencaselaw.ch/entscheid/bge_144 III 337</w:t>
      </w:r>
    </w:p>
    <w:p>
      <w:r>
        <w:t>FR: ATF 144 III 337</w:t>
      </w:r>
    </w:p>
    <w:p>
      <w:r>
        <w:t>IT: DTF 144 III 337</w:t>
      </w:r>
    </w:p>
    <w:p>
      <w:pPr>
        <w:pStyle w:val="Heading2"/>
      </w:pPr>
      <w:r>
        <w:t>Regeste</w:t>
      </w:r>
    </w:p>
    <w:p>
      <w:r>
        <w:t>Regeste Art. 1 Abs. 2 und Art. 7 Abs. 2 PatG sowie Art. 54 Abs. 2 und Art. 56 EPÜ 2000; erfinderische Tätigkeit, Stand der Technik. Grundsätze der Beurteilung der Ausführbarkeit bzw. der hinreichenden Offenbarung einer technischen Lehre im Rahmen der Prüfung der erfinderischen Tätigkeit (E. 2.2).</w:t>
      </w:r>
    </w:p>
    <w:p>
      <w:pPr>
        <w:pStyle w:val="Heading2"/>
      </w:pPr>
      <w:r>
        <w:t>Erwägungen</w:t>
      </w:r>
    </w:p>
    <w:p>
      <w:r>
        <w:rPr>
          <w:b/>
        </w:rPr>
        <w:t>E. 2</w:t>
      </w:r>
    </w:p>
    <w:p>
      <w:r>
        <w:t>(...)</w:t>
      </w:r>
    </w:p>
    <w:p>
      <w:r>
        <w:rPr>
          <w:b/>
        </w:rPr>
        <w:t>E. 2.2</w:t>
      </w:r>
    </w:p>
    <w:p>
      <w:r>
        <w:t>Zum Stand der Technik gehört alles, was vor dem Anmelde- oder Prioritätsdatum der Öffentlichkeit durch schriftliche oder mündliche Beschreibung, durch Benutzung oder in sonstiger Weise zugänglich gemacht worden ist ( Art. 7 Abs. 2 PatG [SR 232.14], Art. 54 Abs. 2 des Europäischen Patentübereinkommens vom 5. Oktober BGE 144 III 337 S. 341 1973, revidiert in München am 29. November 2000 [EPÜ 2000; SR 0.232.142.2]; BGE 133 III 229 E. 4 S. 232). Der Stand der Technik bildet nicht nur Grundlage der Neuheitsprüfung, sondern auch der erfinderischen Tätigkeit (vgl. CHRISTOPH BERTSCHINGER, Patentfähige Erfindung, in: Schweizerisches und europäisches Patentrecht, Bertschinger und andere [Hrsg.], 2002, Rz. 4.113; PETER HEINRICH, PatG/EPÜ, Kommentar [...], 2. Aufl. 2010, N. 76 zu Art. 1 PatG ; ALBERT K. LINDNER, in: Europäisches Patentübereinkommen, Singer/Stauder [Hrsg.], 7. Aufl., Köln 2016, N. 1 zu Art. 54, N. 1, 12 zu Art. 56 EPÜ ; KINKELDEY/KARAMANLI, in: Europäisches Patentübereinkommen, 2. Aufl., München 2012, N. 2, 30 zu Art. 56 EPÜ ; RAINER MOUFANG, in: Patentgesetz mit europäischem Patentübereinkommen, Rainer Schulte [Hrsg.], 10. Aufl. 2017, N. 1 zu Art. 56 EPÜ ). Dokumente sind nach dem Verständnis des massgebenden Fachmanns am Prioritäts- oder Anmeldetag auszulegen. Danach ist nicht nur der Wortlaut eines Dokuments massgebend, sondern es sind auch Lösungen im Stand der Technik vorhanden, die sich aufgrund der Vorveröffentlichung dem Fachmann in naheliegender Weise erschliessen; es kommt auf den Gesamtinhalt einer Druckschrift an (KINKELDEY/KARAMANLI, a.a.O., N. 31 zu Art. 56 EPÜ ; vgl. auch MOUFANG, a.a.O., N. 30 f. zu Art. 56 EPÜ ). Insbesondere ist das technische Allgemeinwissen des Fachteams zu berücksichtigen, wie es namentlich in Nachschlagewerken des einschlägigen Fachgebiets zugänglich ist (JÜRGEN KROHER, in: Europäisches Patentübereinkommen, Singer/Stauder [Hrsg.], 7. Aufl., Köln 2016, N. 1 zu Art. 54 EPÜ ; LINDNER, a.a.O., N. 11 zu Art. 56 EPÜ ). Interne Kenntnisse wie Versuchsergebnisse gehören dem Stand der Technik dagegen nicht an (KINKELDEY/KARAMANLI, a.a.O., N. 33 zu Art. 56 EPÜ ; KROHER, a.a.O., N. 13 zu Art. 56 EPÜ ).</w:t>
      </w:r>
    </w:p>
    <w:p>
      <w:r>
        <w:rPr>
          <w:b/>
        </w:rPr>
        <w:t>E. 2.2.1</w:t>
      </w:r>
    </w:p>
    <w:p>
      <w:r>
        <w:t>Die Vorinstanz hat im angefochtenen Urteil erklärt, sie gehe nach dem "Aufgabe-Lösungs-Ansatz" vor. Dieser umschreibt ein strukturiertes Vorgehen zur Beurteilung der erfinderischen Tätigkeit. Er wird von den technischen Beschwerdekammern des Europäischen Patentamts angewendet (vgl. BGE 138 III 111 E. 2.2) und beruht auf der Grundlage, dass jede Erfindung aus einer technischen Aufgabe und deren Lösung besteht (KINKELDEY/KARAMANLI, a.a.O., N. 23 zu Art. 56 EPÜ , unter Verweis auf Regel 27 EPÜ, die eine entsprechende Darstellung der Patentschrift vorschreibt). Die objektiv von der beanspruchten Erfindung gelöste Aufgabe wird danach zuerst ausgehend von dieser Erfindung durch die Ermittlung BGE 144 III 337 S. 342 des (einzigen) Dokumentes im Stand der Technik beurteilt, das dieser beanspruchten Erfindung am nächsten kommt. Dieser nächstliegende Stand der Technik wird sodann mit der beanspruchten Erfindung verglichen und es werden die strukturellen oder funktionellen Unterschiede im Einzelnen aufgelistet, um gestützt darauf die objektive technische Aufgabe zu formulieren, welche die beanspruchte Erfindung löst (vgl. zum Vorgehen insbesondere KROHER, a.a.O., N. 55 ff. zu Art. 56 EPÜ ; MOUFANG, a.a.O., N. 27 ff. zu Art. 56 EPÜ ; BERTSCHINGER, a.a.O., Rz. 4.126 S. 142). Da anschliessend gefragt wird, welche Schritte der massgebende Fachmann vom nächstliegenden Stand der Technik aus unternehmen musste, um die technische Aufgabe zu lösen, kommt nach diesem Vorgehen als nächstliegender Stand der Technik nur ein Dokument in Frage, das eine technische Lösung offenbart (vgl. KROHER, a.a.O., N. 63 zu Art. 56 EPÜ mit Verweis auf den Entscheid der Beschwerdekammer des Europäischen Patentamts [EPA] T 211/01 vom 1. Dezember 2003) und zwar so deutlich und vollständig, dass ein Fachmann sie ausführen kann (vgl. für die Neuheitsprüfung BERTSCHINGER, a.a.O., Rz. 4.96 S. 129, Rz. 4.110 S. 135; LINDNER, a.a.O., N. 74 zu Art. 54 EPÜ ; KLAUS-JÜRGEN MELULLIS, in: Europäisches Patentübereinkommen, 2. Aufl., München 2012, N. 51 zu Art. 54 EPÜ ). Die Vorinstanz verweist denn auch selbst auf die Prüfrichtlinien des Europäischen Patentamts, wonach die Offenbarung eines Dokumentes im Stand der Technik sowohl für Neuheit wie für erfinderische Tätigkeit so geartet sein muss, dass der Fachmann den offenbarten Gegenstand aufgrund seines allgemeinen Fachwissens nacharbeiten kann. Wenn sie dieses Erfordernis in Frage stellt, kann darin entgegen der Ansicht der Beschwerdegegnerin keine Begründung liegen, die den angefochtenen Entscheid selbständig zu stützen vermöchte. Denn es geht allemal um die Frage, welche technische Aufgabe vom Streitpatent der Beschwerdeführerin objektiv gelöst wird. Die Beschwerdeführerin kritisiert aber die Auslegung des von der Vorinstanz als nächstliegender Stand der Technik beigezogenen Dokuments Howell bzw. D15 gerade in Bezug auf die Definition dieser Aufgabe. Sie beanstandet namentlich, die Vorinstanz habe ihr die Beweislast für die Ausführbarkeit von D15 auferlegt und nicht sämtliche Unterscheidungsmerkmale in Betracht gezogen.</w:t>
      </w:r>
    </w:p>
    <w:p>
      <w:r>
        <w:rPr>
          <w:b/>
        </w:rPr>
        <w:t>E. 2.2.2</w:t>
      </w:r>
    </w:p>
    <w:p>
      <w:r>
        <w:t>Ausführbarkeit bedeutet, dass dem Fachmann eine so deutliche und vollständige Anleitung vermittelt wird, dass er aufgrund der Informationen und seines Fachwissens in der Lage ist, die von der Lehre vermittelte technische Lösung zuverlässig und wiederholbar BGE 144 III 337 S. 343 praktisch auszuführen (vgl. ALFONS SCHÄFERS, in: Europäisches Patentübereinkommen, 2. Aufl., München 2012, N. 88 zu Art. 83 EPÜ ; RUDOLF TESCHEMACHER, in: Europäisches Patentübereinkommen, Singer/Stauder [Hrsg.], 7. Aufl., Köln 2016, N. 16 zu Art. 83 EPÜ ). So ist namentlich eine technische Erfindung nur dann patentierbar, wenn die angestrebte technische Lösung mit Sicherheit erreicht wird und diese nicht zufällig ist (so schon ALOIS TROLLER, Immaterialgüterrecht, Bd. I, 3. Aufl. 1983, S. 152; vgl. BGE 120 II 312 E. 2). Dass Patentschriften die technische Lehre hinreichend offenbaren müssen bzw. die Erfindung in der Patentschrift so darzulegen ist, dass der Fachmann sie ausführen kann, ist Gültigkeitsvoraussetzung ( Art. 26 Abs. 1 lit. b PatG , Art. 83 EPÜ 2000 ). Dabei müssen fachtechnisch selbstverständliche Elemente nicht offenbart werden (Urteil des Bundesgerichts 4C.103/1990 vom 31. Oktober 1990 E. 5b, in: SMI 1992 II S. 287). Fehler und Lücken in der Patentschrift beeinträchtigen die Ausführung nicht, soweit sie der Fachmann aufgrund seines allgemeinen Fachwissens ohne unzumutbaren Aufwand erkennen und beheben kann. Dies gilt auch dann, wenn die Patentschrift so knappe Angaben enthält, dass der Durchschnittsfachmann für den Nachbau einige Zeit aufwenden und allenfalls gar eine eigene Lösung finden muss. Die Ausführbarkeit für den Fachmann ist aber dann zu verneinen, wenn der Aufwand für die Nacharbeit das Zumutbare sprengt oder der nacharbeitende Fachmann erfinderisch tätig werden muss (Urteil 4C.10/2003 vom 18. März 2003 E. 4; SCHACHENMANN/BERTSCHINGER, in: Schweizerisches und europäisches Patentrecht, Bertschinger und andere [Hrsg.], 2002, Rz. 15.12 ff., 15.18 bis 15.21; SCHÄFERS, a.a.O., N. 21, 60 zu Art. 83 EPÜ ; TESCHEMACHER, a.a.O., N. 16 zu Art. 83 EPÜ ; vgl. auch KLAUS BACHER, in: Patentgesetz, 11. Aufl., München 2015, N. 70 zu § 1 DPatG). Die Offenbarung mindestens eines Weges zur Ausführung ist im Einzelnen erforderlich, aber auch ausreichend, wenn sie die Ausführung der Erfindung im gesamten beanspruchten Bereich ermöglicht; entscheidend ist, dass der Fachmann in die Lage versetzt wird, im Wesentlichen alle in den Schutzbereich der Ansprüche fallenden Ausführungsarten nachzuarbeiten (SCHÄFERS, a.a.O., N. 94 ff. zu Art. 83 EPÜ ).</w:t>
      </w:r>
    </w:p>
    <w:p>
      <w:r>
        <w:rPr>
          <w:b/>
        </w:rPr>
        <w:t>E. 2.2.3</w:t>
      </w:r>
    </w:p>
    <w:p>
      <w:r>
        <w:t>Die Vorinstanz hat den Begriff der Ausführbarkeit oder der hinreichenden Offenbarung verkannt mit dem Schluss, dass "die Lehre der D15 grundsätzlich nacharbeitbar war". Denn eine technische Lehre besteht nicht nur aus dem Problem, sondern auch aus der BGE 144 III 337 S. 344 Lösung ( BGE 114 II 82 E. 2b S. 86 mit Verweisen; vgl. MELULLIS, a.a.O., N. 79 f. zu Art. 52 EPÜ ). Wird nur das Problem, nicht aber die Lösung aufgezeigt, so fehlt eine technische Lehre, sofern nicht ausnahmsweise die Aufgabenstellung auf erfinderischer Tätigkeit beruht (vgl. für die hier nicht massgebende Aufgabenerfindung auch KINKELDEY/KARAMANLI, a.a.O., N. 143 zu Art. 56 EPÜ ). In D15 wird jedoch nur das technische Problem aufgezeigt: Es ist dem Dokument Howell zu entnehmen, dass es eine verträgliche und medizinisch wirksame Depotformulierung von 5 ml zur Verabreichung von bis zu 250 mg Fulvestrant gibt. Wie sich diese Formulierung zusammensetzt, ist dem Dokument jedoch nicht ausdrücklich zu entnehmen, wie die Vorinstanz feststellt. Es wird zur Zusammensetzung nur die Information gegeben, dass es sich um eine Rizinusöl-basierte Depotformulierung von 5 ml zur intramuskulären monatlichen Abgabe von 100 mg bis 250 mg Fulvestrant handelt ("[...] a long-acting formulation contained in a castor oil-based vehicle by monthly i.m. injection [5 ml] [...]. [...] escalating doses of [Fulvestrant], starting with 100 mg in the first month and increasing to 250 mg i.m. from the second month onwards [...]."). Im angefochtenen Entscheid wird aber die Frage nicht beantwortet, welche konkrete Formulierung das massgebende Fachteam aus Pharmazeut und Mediziner mit langjähriger Erfahrung in der Entwicklung von Arzneimittelformulierungen und mit in Gewebe injizierbaren Formulierungen aufgrund der Information in D15 ohne unzumutbaren Aufwand und ohne erfinderische Tätigkeit gefunden hätte. Die allgemeine Kenntnis, dass sich Steroide wie Fulvestrant in Rizinusöl mit bestimmten Hilfsstoffen und Lösungsmitteln so lösen lassen, dass verträgliche Injektionen hergestellt werden können, genügt nicht für die Ausführbarkeit einer technischen Lehre. Vielmehr muss aufgrund der massgebenden Fachkenntnisse mindestens eine (typische) Formulierung in ihrer konkreten Zusammensetzung ohne unzumutbaren Aufwand nachgearbeitet werden können, damit geschlossen werden kann, die Lehre sei ausführbar. Wenn wie hier eine technische Lösung nicht ausdrücklich offenbart ist, bedarf es des Nachweises, dass der massgebende Fachmann bzw. hier das massgebende Fachteam aufgrund der Angaben im Dokument und seines Fachwissens mindestens eine konkrete Lösung des technischen Problems mit zumutbarem Aufwand gefunden hätte. Den Feststellungen im angefochtenen Entscheid ist jedoch nicht zu entnehmen, welche konkrete Zusammensetzung (welche Stoffe in welchem BGE 144 III 337 S. 345 Verhältnis bzw. in welcher Menge und in welcher Form) eine Injektion von 5 ml aufweist, damit Fulvestrant bis zu 250 mg wirksam und verträglich für einen Monat verabreicht werden kann.</w:t>
      </w:r>
    </w:p>
    <w:p>
      <w:r>
        <w:rPr>
          <w:b/>
        </w:rPr>
        <w:t>E. 2.2.4</w:t>
      </w:r>
    </w:p>
    <w:p>
      <w:r>
        <w:t>Die Beschwerdeführerin rügt im Ergebnis zu Recht, dass die Vorinstanz von einem unzutreffenden Rechtsbegriff der Ausführbarkeit ausgegangen ist mit der Annahme, es bedürfe keiner konkreten technischen Formulierung, um die Offenbarung der technischen Lehre - d.h. hier der in D15 beschriebenen Depot-Formulierung - bejahen zu können. Aufgrund der tatsächlichen Feststellungen der Vorinstanz offenbart Howell keine Lehre für eine 5 ml-Depot-Formulierung für bis zu 250 mg Fulvestrant zur intramuskulären Abgabe. Zwar ist in diesem Dokument beschrieben, dass es eine solche Depot-Formulierung gibt, weil sie verwendet wurde. Aber die konkrete Ausgestaltung der im Versuch verwendeten oder einer entsprechenden Formulierung ist weder dem Dokument ausdrücklich zu entnehmen noch wird sie im angefochtenen Entscheid als Ergebnis der vom Fachteam aufgrund dessen Allgemeinwissens herstellbaren Formulierungen festgestellt. Die Vorinstanz hat die Offenbarung einer technischen Lehre durch D15 zu Unrecht bejaht.</w:t>
      </w:r>
    </w:p>
    <w:p>
      <w:r>
        <w:rPr>
          <w:b/>
        </w:rPr>
        <w:t>E. 2.2.5</w:t>
      </w:r>
    </w:p>
    <w:p>
      <w:r>
        <w:t>Entgegen der Ansicht der Beschwerdegegnerin kann auch nicht davon ausgegangen werden, die Ausführbarkeit werde vermutet. Denn beim Dokument Howell handelt es sich nicht um eine Patentschrift, sondern um die Beschreibung von Versuchen. In diesem Zusammenhang besteht keine Vorschrift, welche die Ausführbarkeit oder die hinreichende Offenbarung vorschreiben würde, wie dies als Voraussetzung der Gültigkeit einer Erfindung in einer Patentschrift der Fall ist. Vielmehr sind hier die technischen Informationen, die dieses Dokument vermittelt, aus Sicht des massgebenden pharmazeutischen und medizinischen Fachteams festzustellen. Insofern wird in diesem Dokument eine technische Lehre - Aufgabe und Lösung - eben nur offenbart, wenn auch mindestens eine Lösung der Aufgabe sicher und wiederholbar vom Fachmann ohne zumutbaren Aufwand und ohne erfinderische Leistung ausgeführt werden kann. Dies wird im angefochtenen Entscheid mangels (mindestens) einer konkreten (typischen) Formulierung nicht aufgezeigt.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